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rPr>
          <w:b w:val="1"/>
          <w:bCs w:val="1"/>
        </w:rPr>
      </w:pPr>
      <w:r>
        <w:rPr>
          <w:rFonts w:ascii="Times New Roman" w:hAnsi="Times New Roman"/>
          <w:b w:val="1"/>
          <w:bCs w:val="1"/>
          <w:outline w:val="0"/>
          <w:color w:val="000000"/>
          <w:sz w:val="24"/>
          <w:szCs w:val="24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  </w:t>
      </w:r>
      <w:r>
        <w:rPr>
          <w:rFonts w:ascii="Times New Roman" w:cs="Times New Roman" w:hAnsi="Times New Roman" w:eastAsia="Times New Roman"/>
          <w:b w:val="1"/>
          <w:bCs w:val="1"/>
          <w:outline w:val="0"/>
          <w:color w:val="000000"/>
          <w:sz w:val="24"/>
          <w:szCs w:val="24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inline distT="0" distB="0" distL="0" distR="0">
            <wp:extent cx="1530358" cy="660952"/>
            <wp:effectExtent l="0" t="0" r="0" b="0"/>
            <wp:docPr id="1073741825" name="officeArt object" descr="Immagine che contiene testo, serviziodatavola, stoviglie, piatt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magine che contiene testo, serviziodatavola, stoviglie, piattoDescrizione generata automaticamente" descr="Immagine che contiene testo, serviziodatavola, stoviglie, piattoDescrizione generata automaticament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8" cy="6609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bCs w:val="1"/>
          <w:rtl w:val="0"/>
          <w:lang w:val="it-IT"/>
        </w:rPr>
        <w:t xml:space="preserve">             </w:t>
      </w:r>
      <w:r>
        <w:rPr>
          <w:rFonts w:ascii="Times New Roman" w:cs="Times New Roman" w:hAnsi="Times New Roman" w:eastAsia="Times New Roman"/>
          <w:b w:val="1"/>
          <w:bCs w:val="1"/>
        </w:rPr>
        <w:drawing xmlns:a="http://schemas.openxmlformats.org/drawingml/2006/main">
          <wp:inline distT="0" distB="0" distL="0" distR="0">
            <wp:extent cx="1528037" cy="561657"/>
            <wp:effectExtent l="0" t="0" r="0" b="0"/>
            <wp:docPr id="1073741826" name="officeArt object" descr="Immagin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magine 6" descr="Immagine 6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037" cy="5616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bCs w:val="1"/>
          <w:rtl w:val="0"/>
          <w:lang w:val="it-IT"/>
        </w:rPr>
        <w:t xml:space="preserve">               </w:t>
      </w:r>
      <w:r>
        <w:rPr>
          <w:rFonts w:ascii="Times New Roman" w:cs="Times New Roman" w:hAnsi="Times New Roman" w:eastAsia="Times New Roman"/>
          <w:b w:val="1"/>
          <w:bCs w:val="1"/>
        </w:rPr>
        <w:drawing xmlns:a="http://schemas.openxmlformats.org/drawingml/2006/main">
          <wp:inline distT="0" distB="0" distL="0" distR="0">
            <wp:extent cx="1620077" cy="350139"/>
            <wp:effectExtent l="0" t="0" r="0" b="0"/>
            <wp:docPr id="1073741827" name="officeArt object" descr="Immagine che contiene testo, segnale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magine che contiene testo, segnaleDescrizione generata automaticamente" descr="Immagine che contiene testo, segnaleDescrizione generata automaticament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77" cy="3501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b w:val="1"/>
          <w:bCs w:val="1"/>
        </w:rPr>
      </w:pPr>
    </w:p>
    <w:p>
      <w:pPr>
        <w:pStyle w:val="Normal.0"/>
        <w:jc w:val="center"/>
        <w:rPr>
          <w:b w:val="1"/>
          <w:bCs w:val="1"/>
        </w:rPr>
      </w:pPr>
      <w:r>
        <w:rPr>
          <w:b w:val="1"/>
          <w:bCs w:val="1"/>
          <w:rtl w:val="0"/>
          <w:lang w:val="it-IT"/>
        </w:rPr>
        <w:t xml:space="preserve">Il primo evento in presenza di Brand New Inclusion: scopri come </w:t>
      </w:r>
      <w:r>
        <w:rPr>
          <w:b w:val="1"/>
          <w:bCs w:val="1"/>
          <w:rtl w:val="0"/>
          <w:lang w:val="it-IT"/>
        </w:rPr>
        <w:t xml:space="preserve">è </w:t>
      </w:r>
      <w:r>
        <w:rPr>
          <w:b w:val="1"/>
          <w:bCs w:val="1"/>
          <w:rtl w:val="0"/>
          <w:lang w:val="it-IT"/>
        </w:rPr>
        <w:t>andata!</w:t>
      </w:r>
    </w:p>
    <w:p>
      <w:pPr>
        <w:pStyle w:val="Normal.0"/>
        <w:jc w:val="both"/>
        <w:rPr>
          <w:b w:val="1"/>
          <w:bCs w:val="1"/>
        </w:rPr>
      </w:pPr>
    </w:p>
    <w:p>
      <w:pPr>
        <w:pStyle w:val="Normal.0"/>
        <w:jc w:val="both"/>
      </w:pPr>
      <w:r>
        <w:rPr>
          <w:rtl w:val="0"/>
          <w:lang w:val="it-IT"/>
        </w:rPr>
        <w:t>Quando circa 40 insegnanti e ricercatori europei si incontrano per discutere di istruzione aperta, tecnologie e inclusione, possono accadere cose davvero speciali.</w:t>
      </w:r>
    </w:p>
    <w:p>
      <w:pPr>
        <w:pStyle w:val="Normal.0"/>
        <w:jc w:val="both"/>
      </w:pPr>
    </w:p>
    <w:p>
      <w:pPr>
        <w:pStyle w:val="Normal.0"/>
        <w:jc w:val="center"/>
      </w:pPr>
      <w:r>
        <w:drawing xmlns:a="http://schemas.openxmlformats.org/drawingml/2006/main">
          <wp:inline distT="0" distB="0" distL="0" distR="0">
            <wp:extent cx="5733416" cy="2987675"/>
            <wp:effectExtent l="0" t="0" r="0" b="0"/>
            <wp:docPr id="1073741828" name="officeArt object" descr="Immagine che contiene testo, persona, esterni, inpiedi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magine che contiene testo, persona, esterni, inpiediDescrizione generata automaticamente" descr="Immagine che contiene testo, persona, esterni, inpiediDescrizione generata automaticamente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6" cy="2987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both"/>
      </w:pPr>
      <w:r>
        <w:rPr>
          <w:rtl w:val="0"/>
          <w:lang w:val="it-IT"/>
        </w:rPr>
        <w:t xml:space="preserve">Questo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>ci</w:t>
      </w:r>
      <w:r>
        <w:rPr>
          <w:rtl w:val="0"/>
          <w:lang w:val="it-IT"/>
        </w:rPr>
        <w:t xml:space="preserve">ò </w:t>
      </w:r>
      <w:r>
        <w:rPr>
          <w:rtl w:val="0"/>
          <w:lang w:val="it-IT"/>
        </w:rPr>
        <w:t xml:space="preserve">che l'evento di formazione ha portato al progetto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"http://www.archilabo.org/content/?portfolio=brand-new-inclusion"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Brand New Inclusion</w:t>
      </w:r>
      <w:r>
        <w:rPr/>
        <w:fldChar w:fldCharType="end" w:fldLock="0"/>
      </w:r>
      <w:r>
        <w:rPr>
          <w:rStyle w:val="Nessuno"/>
          <w:rtl w:val="0"/>
          <w:lang w:val="it-IT"/>
        </w:rPr>
        <w:t xml:space="preserve">. </w:t>
      </w:r>
    </w:p>
    <w:p>
      <w:pPr>
        <w:pStyle w:val="Normal.0"/>
        <w:jc w:val="both"/>
      </w:pPr>
      <w:r>
        <w:rPr>
          <w:rStyle w:val="Nessuno"/>
          <w:rtl w:val="0"/>
          <w:lang w:val="it-IT"/>
        </w:rPr>
        <w:t>A Dicembre 2022, per la prima volta in presenza, il partenariato ha avuto l</w:t>
      </w:r>
      <w:r>
        <w:rPr>
          <w:rStyle w:val="Nessuno"/>
          <w:rtl w:val="0"/>
          <w:lang w:val="it-IT"/>
        </w:rPr>
        <w:t>’</w:t>
      </w:r>
      <w:r>
        <w:rPr>
          <w:rStyle w:val="Nessuno"/>
          <w:rtl w:val="0"/>
          <w:lang w:val="it-IT"/>
        </w:rPr>
        <w:t>occasione di essere ospitato dall</w:t>
      </w:r>
      <w:r>
        <w:rPr>
          <w:rStyle w:val="Nessuno"/>
          <w:rtl w:val="0"/>
          <w:lang w:val="it-IT"/>
        </w:rPr>
        <w:t>’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"https://www.istas.mo.it/"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ISTAS Spallanzani</w:t>
      </w:r>
      <w:r>
        <w:rPr/>
        <w:fldChar w:fldCharType="end" w:fldLock="0"/>
      </w:r>
      <w:r>
        <w:rPr>
          <w:rStyle w:val="Nessuno"/>
          <w:rtl w:val="0"/>
          <w:lang w:val="it-IT"/>
        </w:rPr>
        <w:t xml:space="preserve"> nell'accogliente Castelfranco Emilia (Modena) e, per 4 giorni, di contribuire allo sviluppo dei tre </w:t>
      </w:r>
      <w:r>
        <w:rPr>
          <w:rStyle w:val="Nessuno"/>
          <w:i w:val="1"/>
          <w:iCs w:val="1"/>
          <w:rtl w:val="0"/>
          <w:lang w:val="it-IT"/>
        </w:rPr>
        <w:t>Intellectual Outputs</w:t>
      </w:r>
      <w:r>
        <w:rPr>
          <w:rStyle w:val="Nessuno"/>
          <w:rtl w:val="0"/>
          <w:lang w:val="it-IT"/>
        </w:rPr>
        <w:t xml:space="preserve"> del progetto. </w:t>
      </w:r>
    </w:p>
    <w:p>
      <w:pPr>
        <w:pStyle w:val="Normal.0"/>
        <w:jc w:val="both"/>
      </w:pPr>
    </w:p>
    <w:p>
      <w:pPr>
        <w:pStyle w:val="Normal.0"/>
        <w:jc w:val="both"/>
      </w:pPr>
      <w:r>
        <w:rPr>
          <w:rStyle w:val="Nessuno"/>
          <w:rtl w:val="0"/>
          <w:lang w:val="it-IT"/>
        </w:rPr>
        <w:t>Cresce la curiosit</w:t>
      </w:r>
      <w:r>
        <w:rPr>
          <w:rStyle w:val="Nessuno"/>
          <w:rtl w:val="0"/>
          <w:lang w:val="it-IT"/>
        </w:rPr>
        <w:t>à</w:t>
      </w:r>
      <w:r>
        <w:rPr>
          <w:rStyle w:val="Nessuno"/>
          <w:rtl w:val="0"/>
          <w:lang w:val="it-IT"/>
        </w:rPr>
        <w:t>? Diamo un</w:t>
      </w:r>
      <w:r>
        <w:rPr>
          <w:rStyle w:val="Nessuno"/>
          <w:rtl w:val="0"/>
          <w:lang w:val="it-IT"/>
        </w:rPr>
        <w:t>’</w:t>
      </w:r>
      <w:r>
        <w:rPr>
          <w:rStyle w:val="Nessuno"/>
          <w:rtl w:val="0"/>
          <w:lang w:val="it-IT"/>
        </w:rPr>
        <w:t xml:space="preserve">occhiata a cosa </w:t>
      </w:r>
      <w:r>
        <w:rPr>
          <w:rStyle w:val="Nessuno"/>
          <w:rtl w:val="0"/>
          <w:lang w:val="it-IT"/>
        </w:rPr>
        <w:t xml:space="preserve">è </w:t>
      </w:r>
      <w:r>
        <w:rPr>
          <w:rStyle w:val="Nessuno"/>
          <w:rtl w:val="0"/>
          <w:lang w:val="it-IT"/>
        </w:rPr>
        <w:t>accaduto durante queste giornate.</w:t>
      </w:r>
    </w:p>
    <w:p>
      <w:pPr>
        <w:pStyle w:val="Normal.0"/>
        <w:jc w:val="both"/>
      </w:pPr>
      <w:r>
        <w:rPr>
          <w:rStyle w:val="Nessuno"/>
        </w:rPr>
        <w:drawing xmlns:a="http://schemas.openxmlformats.org/drawingml/2006/main">
          <wp:inline distT="0" distB="0" distL="0" distR="0">
            <wp:extent cx="3772265" cy="2518444"/>
            <wp:effectExtent l="0" t="0" r="0" b="0"/>
            <wp:docPr id="1073741829" name="officeArt object" descr="Immagine che contiene testo, persona, soffitto, interni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magine che contiene testo, persona, soffitto, interniDescrizione generata automaticamente" descr="Immagine che contiene testo, persona, soffitto, interniDescrizione generata automaticamente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1" t="1169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772265" cy="25184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essuno"/>
          <w:rtl w:val="0"/>
          <w:lang w:val="it-IT"/>
        </w:rPr>
        <w:t xml:space="preserve">       </w:t>
      </w:r>
      <w:r>
        <w:rPr>
          <w:rStyle w:val="Nessuno"/>
        </w:rPr>
        <w:drawing xmlns:a="http://schemas.openxmlformats.org/drawingml/2006/main">
          <wp:inline distT="0" distB="0" distL="0" distR="0">
            <wp:extent cx="2509895" cy="2271198"/>
            <wp:effectExtent l="0" t="0" r="0" b="0"/>
            <wp:docPr id="1073741830" name="officeArt object" descr="Immagin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magine 5" descr="Immagine 5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22573" t="0" r="3554" b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09895" cy="22711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essuno"/>
          <w:rtl w:val="0"/>
          <w:lang w:val="it-IT"/>
        </w:rPr>
        <w:t xml:space="preserve">  </w:t>
      </w:r>
    </w:p>
    <w:p>
      <w:pPr>
        <w:pStyle w:val="Normal.0"/>
        <w:jc w:val="both"/>
      </w:pPr>
    </w:p>
    <w:p>
      <w:pPr>
        <w:pStyle w:val="Normal.0"/>
        <w:jc w:val="both"/>
      </w:pPr>
      <w:r>
        <w:rPr>
          <w:rStyle w:val="Nessuno"/>
          <w:rtl w:val="0"/>
          <w:lang w:val="it-IT"/>
        </w:rPr>
        <w:t xml:space="preserve">Il primo giorno </w:t>
      </w:r>
      <w:r>
        <w:rPr>
          <w:rStyle w:val="Nessuno"/>
          <w:rtl w:val="0"/>
          <w:lang w:val="it-IT"/>
        </w:rPr>
        <w:t xml:space="preserve">è </w:t>
      </w:r>
      <w:r>
        <w:rPr>
          <w:rStyle w:val="Nessuno"/>
          <w:rtl w:val="0"/>
          <w:lang w:val="it-IT"/>
        </w:rPr>
        <w:t xml:space="preserve">stato diviso in due </w:t>
      </w:r>
      <w:r>
        <w:rPr>
          <w:rStyle w:val="Nessuno"/>
          <w:i w:val="1"/>
          <w:iCs w:val="1"/>
          <w:rtl w:val="0"/>
          <w:lang w:val="it-IT"/>
        </w:rPr>
        <w:t>slot</w:t>
      </w:r>
      <w:r>
        <w:rPr>
          <w:rStyle w:val="Nessuno"/>
          <w:rtl w:val="0"/>
          <w:lang w:val="it-IT"/>
        </w:rPr>
        <w:t xml:space="preserve">: dopo il discorso di benvenuto della dirigente scolastica dello Spallanzani Maura Zini, e l'introduzione di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"http://www.archilabo.org/content/"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Archilab</w:t>
      </w:r>
      <w:r>
        <w:rPr>
          <w:rStyle w:val="Hyperlink.0"/>
          <w:rtl w:val="0"/>
          <w:lang w:val="it-IT"/>
        </w:rPr>
        <w:t>ò</w:t>
      </w:r>
      <w:r>
        <w:rPr/>
        <w:fldChar w:fldCharType="end" w:fldLock="0"/>
      </w:r>
      <w:r>
        <w:rPr>
          <w:rStyle w:val="Nessuno"/>
          <w:rtl w:val="0"/>
          <w:lang w:val="it-IT"/>
        </w:rPr>
        <w:t xml:space="preserve"> sugli obiettivi del progetto e dell'evento di formazione dei docenti partecipanti, abbiamo visitato la scuola ospitante, i suoi laboratori e le moderne serre.</w:t>
      </w:r>
    </w:p>
    <w:p>
      <w:pPr>
        <w:pStyle w:val="Normal.0"/>
        <w:jc w:val="both"/>
      </w:pPr>
      <w:r>
        <w:rPr>
          <w:rStyle w:val="Nessuno"/>
          <w:rtl w:val="0"/>
          <w:lang w:val="it-IT"/>
        </w:rPr>
        <w:t xml:space="preserve">In seguito, il gruppo di circa 40 insegnanti, educatori e ricercatori provenienti dalle organizzazioni partner: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"https://platon.edu.gr/en/"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Platon school</w:t>
      </w:r>
      <w:r>
        <w:rPr/>
        <w:fldChar w:fldCharType="end" w:fldLock="0"/>
      </w:r>
      <w:r>
        <w:rPr>
          <w:rStyle w:val="Nessuno"/>
          <w:rtl w:val="0"/>
          <w:lang w:val="it-IT"/>
        </w:rPr>
        <w:t xml:space="preserve">,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"https://pgme-pirdop.com/"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PGME from Pirdop</w:t>
      </w:r>
      <w:r>
        <w:rPr/>
        <w:fldChar w:fldCharType="end" w:fldLock="0"/>
      </w:r>
      <w:r>
        <w:rPr>
          <w:rStyle w:val="Nessuno"/>
          <w:rtl w:val="0"/>
          <w:lang w:val="it-IT"/>
        </w:rPr>
        <w:t xml:space="preserve">,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"https://www.istas.mo.it/"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ISTAS Spallanzani</w:t>
      </w:r>
      <w:r>
        <w:rPr/>
        <w:fldChar w:fldCharType="end" w:fldLock="0"/>
      </w:r>
      <w:r>
        <w:rPr>
          <w:rStyle w:val="Nessuno"/>
          <w:rtl w:val="0"/>
          <w:lang w:val="it-IT"/>
        </w:rPr>
        <w:t xml:space="preserve">,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"https://www.alberghetti.it/"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IIS Alberghetti</w:t>
      </w:r>
      <w:r>
        <w:rPr/>
        <w:fldChar w:fldCharType="end" w:fldLock="0"/>
      </w:r>
      <w:r>
        <w:rPr>
          <w:rStyle w:val="Nessuno"/>
          <w:rtl w:val="0"/>
          <w:lang w:val="it-IT"/>
        </w:rPr>
        <w:t xml:space="preserve">,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"https://www.scarabelli-ghini.edu.it/"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ITAC Scarabelli-Ghini</w:t>
      </w:r>
      <w:r>
        <w:rPr/>
        <w:fldChar w:fldCharType="end" w:fldLock="0"/>
      </w:r>
      <w:r>
        <w:rPr>
          <w:rStyle w:val="Nessuno"/>
          <w:rtl w:val="0"/>
          <w:lang w:val="it-IT"/>
        </w:rPr>
        <w:t xml:space="preserve">,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"https://www.ucll.be/en"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UC Leuven</w:t>
      </w:r>
      <w:r>
        <w:rPr/>
        <w:fldChar w:fldCharType="end" w:fldLock="0"/>
      </w:r>
      <w:r>
        <w:rPr>
          <w:rStyle w:val="Nessuno"/>
          <w:rtl w:val="0"/>
          <w:lang w:val="it-IT"/>
        </w:rPr>
        <w:t xml:space="preserve">,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"http://www.archilabo.org/content/"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Archilab</w:t>
      </w:r>
      <w:r>
        <w:rPr>
          <w:rStyle w:val="Hyperlink.0"/>
          <w:rtl w:val="0"/>
          <w:lang w:val="it-IT"/>
        </w:rPr>
        <w:t>ò</w:t>
      </w:r>
      <w:r>
        <w:rPr/>
        <w:fldChar w:fldCharType="end" w:fldLock="0"/>
      </w:r>
      <w:r>
        <w:rPr>
          <w:rStyle w:val="Nessuno"/>
          <w:rtl w:val="0"/>
          <w:lang w:val="it-IT"/>
        </w:rPr>
        <w:t xml:space="preserve"> ha iniziato a scavare nei risultati del primo </w:t>
      </w:r>
      <w:r>
        <w:rPr>
          <w:rStyle w:val="Nessuno"/>
          <w:i w:val="1"/>
          <w:iCs w:val="1"/>
          <w:rtl w:val="0"/>
          <w:lang w:val="it-IT"/>
        </w:rPr>
        <w:t>Intellectual Output</w:t>
      </w:r>
      <w:r>
        <w:rPr>
          <w:rStyle w:val="Nessuno"/>
          <w:rtl w:val="0"/>
          <w:lang w:val="it-IT"/>
        </w:rPr>
        <w:t>: la ricerca scientifica guidata dall'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"https://www.unibo.it/it"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Universit</w:t>
      </w:r>
      <w:r>
        <w:rPr>
          <w:rStyle w:val="Hyperlink.0"/>
          <w:rtl w:val="0"/>
          <w:lang w:val="it-IT"/>
        </w:rPr>
        <w:t xml:space="preserve">à </w:t>
      </w:r>
      <w:r>
        <w:rPr>
          <w:rStyle w:val="Hyperlink.0"/>
          <w:rtl w:val="0"/>
          <w:lang w:val="it-IT"/>
        </w:rPr>
        <w:t>di Bologna</w:t>
      </w:r>
      <w:r>
        <w:rPr/>
        <w:fldChar w:fldCharType="end" w:fldLock="0"/>
      </w:r>
      <w:r>
        <w:rPr>
          <w:rStyle w:val="Nessuno"/>
          <w:rtl w:val="0"/>
          <w:lang w:val="it-IT"/>
        </w:rPr>
        <w:t xml:space="preserve"> sull'adozione di </w:t>
      </w:r>
      <w:r>
        <w:rPr>
          <w:rStyle w:val="Nessuno"/>
          <w:i w:val="1"/>
          <w:iCs w:val="1"/>
          <w:rtl w:val="0"/>
          <w:lang w:val="it-IT"/>
        </w:rPr>
        <w:t>Open Solutions</w:t>
      </w:r>
      <w:r>
        <w:rPr>
          <w:rStyle w:val="Nessuno"/>
          <w:rtl w:val="0"/>
          <w:lang w:val="it-IT"/>
        </w:rPr>
        <w:t xml:space="preserve"> prima, durante e dopo la pandemia e la </w:t>
      </w:r>
      <w:r>
        <w:rPr>
          <w:rStyle w:val="Nessuno"/>
          <w:i w:val="1"/>
          <w:iCs w:val="1"/>
          <w:rtl w:val="0"/>
          <w:lang w:val="it-IT"/>
        </w:rPr>
        <w:t>participatory culture</w:t>
      </w:r>
      <w:r>
        <w:rPr>
          <w:rStyle w:val="Nessuno"/>
          <w:rtl w:val="0"/>
          <w:lang w:val="it-IT"/>
        </w:rPr>
        <w:t xml:space="preserve"> all'interno dell'istruzione secondaria superiore.</w:t>
      </w:r>
    </w:p>
    <w:p>
      <w:pPr>
        <w:pStyle w:val="Normal.0"/>
        <w:jc w:val="both"/>
      </w:pPr>
      <w:r>
        <w:rPr>
          <w:rStyle w:val="Nessuno"/>
          <w:rtl w:val="0"/>
          <w:lang w:val="it-IT"/>
        </w:rPr>
        <w:t>I ricercatori di Unibo hanno analizzato i dati raccolti attraverso due questionari rivolti sia alla componente degli insegnanti che a studenti e riferiti a due ambiti specifici:</w:t>
      </w:r>
    </w:p>
    <w:p>
      <w:pPr>
        <w:pStyle w:val="Normal.0"/>
        <w:jc w:val="both"/>
      </w:pPr>
    </w:p>
    <w:p>
      <w:pPr>
        <w:pStyle w:val="Normal.0"/>
        <w:jc w:val="both"/>
      </w:pPr>
      <w:r>
        <w:rPr>
          <w:rStyle w:val="Nessuno"/>
          <w:rtl w:val="0"/>
          <w:lang w:val="it-IT"/>
        </w:rPr>
        <w:t>1. Contenuti open/strumenti digitali open/pratiche educative open sfruttate da insegnanti e studenti delle scuole partner;</w:t>
      </w:r>
    </w:p>
    <w:p>
      <w:pPr>
        <w:pStyle w:val="Normal.0"/>
        <w:jc w:val="both"/>
      </w:pPr>
      <w:r>
        <w:rPr>
          <w:rStyle w:val="Nessuno"/>
          <w:rtl w:val="0"/>
          <w:lang w:val="it-IT"/>
        </w:rPr>
        <w:t xml:space="preserve">2. Valutazione delle aree di competenza incluse nel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"https://joint-research-centre.ec.europa.eu/digcompedu_en"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DigComp Edu</w:t>
      </w:r>
      <w:r>
        <w:rPr/>
        <w:fldChar w:fldCharType="end" w:fldLock="0"/>
      </w:r>
      <w:r>
        <w:rPr>
          <w:rStyle w:val="Nessuno"/>
          <w:rtl w:val="0"/>
          <w:lang w:val="it-IT"/>
        </w:rPr>
        <w:t xml:space="preserve"> all'interno delle scuole partner.</w:t>
      </w:r>
    </w:p>
    <w:p>
      <w:pPr>
        <w:pStyle w:val="Normal.0"/>
        <w:jc w:val="both"/>
      </w:pPr>
    </w:p>
    <w:p>
      <w:pPr>
        <w:pStyle w:val="Normal.0"/>
        <w:jc w:val="both"/>
      </w:pPr>
      <w:r>
        <w:rPr>
          <w:rStyle w:val="Nessuno"/>
          <w:rtl w:val="0"/>
          <w:lang w:val="it-IT"/>
        </w:rPr>
        <w:t>I risultati di questa ricerca sono stati presentati agli insegnanti che hanno seguito la formazione e commentati da molti di loro, evidenziando la necessit</w:t>
      </w:r>
      <w:r>
        <w:rPr>
          <w:rStyle w:val="Nessuno"/>
          <w:rtl w:val="0"/>
          <w:lang w:val="it-IT"/>
        </w:rPr>
        <w:t xml:space="preserve">à </w:t>
      </w:r>
      <w:r>
        <w:rPr>
          <w:rStyle w:val="Nessuno"/>
          <w:rtl w:val="0"/>
          <w:lang w:val="it-IT"/>
        </w:rPr>
        <w:t>di trovare strategie al fine di facilitare l'adozione di Open Solutions che consentano di padroneggiare l'uso delle tecnologie per l'insegnamento e l</w:t>
      </w:r>
      <w:r>
        <w:rPr>
          <w:rStyle w:val="Nessuno"/>
          <w:rtl w:val="0"/>
          <w:lang w:val="it-IT"/>
        </w:rPr>
        <w:t>’</w:t>
      </w:r>
      <w:r>
        <w:rPr>
          <w:rStyle w:val="Nessuno"/>
          <w:rtl w:val="0"/>
          <w:lang w:val="it-IT"/>
        </w:rPr>
        <w:t>apprendimento, superando le resistenze e le barriere che l'acquisizione di competenze digitali rappresenta per il sistema scolastico.</w:t>
      </w:r>
    </w:p>
    <w:p>
      <w:pPr>
        <w:pStyle w:val="Normal.0"/>
        <w:jc w:val="both"/>
      </w:pPr>
    </w:p>
    <w:p>
      <w:pPr>
        <w:pStyle w:val="Normal.0"/>
        <w:jc w:val="both"/>
      </w:pPr>
      <w:r>
        <w:rPr>
          <w:rStyle w:val="Nessuno"/>
          <w:rtl w:val="0"/>
          <w:lang w:val="it-IT"/>
        </w:rPr>
        <w:t>Questa discussione ha portato tutti i partner alla decisione di pianificare interviste approfondite volte a fornire una descrizione qualitativa della relazione tra tecnologie e inclusione nelle scuole partner.</w:t>
      </w:r>
    </w:p>
    <w:p>
      <w:pPr>
        <w:pStyle w:val="Normal.0"/>
        <w:jc w:val="both"/>
      </w:pPr>
      <w:r>
        <w:rPr>
          <w:rStyle w:val="Nessuno"/>
          <w:rtl w:val="0"/>
          <w:lang w:val="it-IT"/>
        </w:rPr>
        <w:t>Non vediamo l'ora di sapere cosa le interviste approfondite aggiungeranno ai risultati della ricerca di Unibo, ma per il momento andiamo avanti nel nostro racconto.</w:t>
      </w:r>
    </w:p>
    <w:p>
      <w:pPr>
        <w:pStyle w:val="Normal.0"/>
        <w:jc w:val="both"/>
      </w:pPr>
    </w:p>
    <w:p>
      <w:pPr>
        <w:pStyle w:val="Normal.0"/>
        <w:jc w:val="both"/>
      </w:pPr>
      <w:r>
        <w:rPr>
          <w:rStyle w:val="Nessuno"/>
          <w:rtl w:val="0"/>
          <w:lang w:val="it-IT"/>
        </w:rPr>
        <w:t xml:space="preserve">Il secondo giorno di formazione si </w:t>
      </w:r>
      <w:r>
        <w:rPr>
          <w:rStyle w:val="Nessuno"/>
          <w:rtl w:val="0"/>
          <w:lang w:val="it-IT"/>
        </w:rPr>
        <w:t xml:space="preserve">è </w:t>
      </w:r>
      <w:r>
        <w:rPr>
          <w:rStyle w:val="Nessuno"/>
          <w:rtl w:val="0"/>
          <w:lang w:val="it-IT"/>
        </w:rPr>
        <w:t xml:space="preserve">concentrato sul secondo </w:t>
      </w:r>
      <w:r>
        <w:rPr>
          <w:rStyle w:val="Nessuno"/>
          <w:i w:val="1"/>
          <w:iCs w:val="1"/>
          <w:rtl w:val="0"/>
          <w:lang w:val="it-IT"/>
        </w:rPr>
        <w:t>Intellectual Output</w:t>
      </w:r>
      <w:r>
        <w:rPr>
          <w:rStyle w:val="Nessuno"/>
          <w:rtl w:val="0"/>
          <w:lang w:val="it-IT"/>
        </w:rPr>
        <w:t>: la sperimentazione didattica dello STEAM-KIT contenente quattordici unit</w:t>
      </w:r>
      <w:r>
        <w:rPr>
          <w:rStyle w:val="Nessuno"/>
          <w:rtl w:val="0"/>
          <w:lang w:val="it-IT"/>
        </w:rPr>
        <w:t xml:space="preserve">à </w:t>
      </w:r>
      <w:r>
        <w:rPr>
          <w:rStyle w:val="Nessuno"/>
          <w:rtl w:val="0"/>
          <w:lang w:val="it-IT"/>
        </w:rPr>
        <w:t xml:space="preserve">di apprendimento: dodici basate su principi didattici, una dedicata a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"https://cooperative-press.eu/"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Social Books Creator</w:t>
      </w:r>
      <w:r>
        <w:rPr/>
        <w:fldChar w:fldCharType="end" w:fldLock="0"/>
      </w:r>
      <w:r>
        <w:rPr>
          <w:rStyle w:val="Nessuno"/>
          <w:rtl w:val="0"/>
          <w:lang w:val="it-IT"/>
        </w:rPr>
        <w:t xml:space="preserve"> e l'ultima dedicata all'insegnamento delle lingue.</w:t>
      </w:r>
    </w:p>
    <w:p>
      <w:pPr>
        <w:pStyle w:val="Normal.0"/>
        <w:jc w:val="both"/>
      </w:pPr>
    </w:p>
    <w:p>
      <w:pPr>
        <w:pStyle w:val="Normal.0"/>
        <w:jc w:val="center"/>
      </w:pPr>
      <w:r>
        <w:rPr>
          <w:rStyle w:val="Nessuno"/>
        </w:rPr>
        <w:drawing xmlns:a="http://schemas.openxmlformats.org/drawingml/2006/main">
          <wp:inline distT="0" distB="0" distL="0" distR="0">
            <wp:extent cx="3795395" cy="3019173"/>
            <wp:effectExtent l="0" t="0" r="0" b="0"/>
            <wp:docPr id="1073741831" name="officeArt object" descr="Immagine che contiene testo, persona, interni, posand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magine che contiene testo, persona, interni, posandoDescrizione generata automaticamente" descr="Immagine che contiene testo, persona, interni, posandoDescrizione generata automaticamente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21100" t="7964" r="12682" b="21903"/>
                    <a:stretch>
                      <a:fillRect/>
                    </a:stretch>
                  </pic:blipFill>
                  <pic:spPr>
                    <a:xfrm>
                      <a:off x="0" y="0"/>
                      <a:ext cx="3795395" cy="30191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both"/>
      </w:pPr>
      <w:r>
        <w:rPr>
          <w:rStyle w:val="Nessuno"/>
          <w:rtl w:val="0"/>
          <w:lang w:val="it-IT"/>
        </w:rPr>
        <w:t>Nella prima parte della giornata la ricercatrice Ildiko Vanrillaer dell</w:t>
      </w:r>
      <w:r>
        <w:rPr>
          <w:rStyle w:val="Nessuno"/>
          <w:rtl w:val="0"/>
          <w:lang w:val="it-IT"/>
        </w:rPr>
        <w:t>’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"https://www.ucll.be/en"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UC Leuven</w:t>
      </w:r>
      <w:r>
        <w:rPr/>
        <w:fldChar w:fldCharType="end" w:fldLock="0"/>
      </w:r>
      <w:r>
        <w:rPr>
          <w:rStyle w:val="Nessuno"/>
          <w:rtl w:val="0"/>
          <w:lang w:val="it-IT"/>
        </w:rPr>
        <w:t xml:space="preserve"> (Foto sopra) ha spiegato il quadro teorico in base al quale le unit</w:t>
      </w:r>
      <w:r>
        <w:rPr>
          <w:rStyle w:val="Nessuno"/>
          <w:rtl w:val="0"/>
          <w:lang w:val="it-IT"/>
        </w:rPr>
        <w:t xml:space="preserve">à </w:t>
      </w:r>
      <w:r>
        <w:rPr>
          <w:rStyle w:val="Nessuno"/>
          <w:rtl w:val="0"/>
          <w:lang w:val="it-IT"/>
        </w:rPr>
        <w:t>di apprendimento sono state create e ha coinvolto gli/le insegnanti in un'attivit</w:t>
      </w:r>
      <w:r>
        <w:rPr>
          <w:rStyle w:val="Nessuno"/>
          <w:rtl w:val="0"/>
          <w:lang w:val="it-IT"/>
        </w:rPr>
        <w:t xml:space="preserve">à </w:t>
      </w:r>
      <w:r>
        <w:rPr>
          <w:rStyle w:val="Nessuno"/>
          <w:rtl w:val="0"/>
          <w:lang w:val="it-IT"/>
        </w:rPr>
        <w:t>volta a mostrare l'importanza di differenziare i sistemi di comunicazione al fine di adattarsi ai diversi stili di apprendimento di studenti (visivi, ascoltando, pratici) e rendere l'apprendimento pi</w:t>
      </w:r>
      <w:r>
        <w:rPr>
          <w:rStyle w:val="Nessuno"/>
          <w:rtl w:val="0"/>
          <w:lang w:val="it-IT"/>
        </w:rPr>
        <w:t xml:space="preserve">ù </w:t>
      </w:r>
      <w:r>
        <w:rPr>
          <w:rStyle w:val="Nessuno"/>
          <w:rtl w:val="0"/>
          <w:lang w:val="it-IT"/>
        </w:rPr>
        <w:t>efficace.</w:t>
      </w:r>
    </w:p>
    <w:p>
      <w:pPr>
        <w:pStyle w:val="Normal.0"/>
        <w:jc w:val="both"/>
      </w:pPr>
      <w:r>
        <w:rPr>
          <w:rStyle w:val="Nessuno"/>
          <w:rtl w:val="0"/>
          <w:lang w:val="it-IT"/>
        </w:rPr>
        <w:t>Dopo il coffee break offerto dallo Spallanzani, UC Leuven ha fornito uno sguardo pi</w:t>
      </w:r>
      <w:r>
        <w:rPr>
          <w:rStyle w:val="Nessuno"/>
          <w:rtl w:val="0"/>
          <w:lang w:val="it-IT"/>
        </w:rPr>
        <w:t xml:space="preserve">ù </w:t>
      </w:r>
      <w:r>
        <w:rPr>
          <w:rStyle w:val="Nessuno"/>
          <w:rtl w:val="0"/>
          <w:lang w:val="it-IT"/>
        </w:rPr>
        <w:t xml:space="preserve">approfondito sulla struttura dello STEAM-KIT, illustrando come </w:t>
      </w:r>
      <w:r>
        <w:rPr>
          <w:rStyle w:val="Nessuno"/>
          <w:rtl w:val="0"/>
          <w:lang w:val="it-IT"/>
        </w:rPr>
        <w:t xml:space="preserve">è </w:t>
      </w:r>
      <w:r>
        <w:rPr>
          <w:rStyle w:val="Nessuno"/>
          <w:rtl w:val="0"/>
          <w:lang w:val="it-IT"/>
        </w:rPr>
        <w:t>organizzato.</w:t>
      </w:r>
    </w:p>
    <w:p>
      <w:pPr>
        <w:pStyle w:val="Normal.0"/>
        <w:jc w:val="both"/>
      </w:pPr>
      <w:r>
        <w:rPr>
          <w:rStyle w:val="Nessuno"/>
          <w:rtl w:val="0"/>
          <w:lang w:val="it-IT"/>
        </w:rPr>
        <w:t xml:space="preserve">La formazione si </w:t>
      </w:r>
      <w:r>
        <w:rPr>
          <w:rStyle w:val="Nessuno"/>
          <w:rtl w:val="0"/>
          <w:lang w:val="it-IT"/>
        </w:rPr>
        <w:t xml:space="preserve">è </w:t>
      </w:r>
      <w:r>
        <w:rPr>
          <w:rStyle w:val="Nessuno"/>
          <w:rtl w:val="0"/>
          <w:lang w:val="it-IT"/>
        </w:rPr>
        <w:t>conclusa dividendo gli insegnanti in gruppi dopo aver indicato loro come sviluppare e creare le proprie lezioni basate sui principi didattici contenuti nello STEAM-KIT.</w:t>
      </w:r>
    </w:p>
    <w:p>
      <w:pPr>
        <w:pStyle w:val="Normal.0"/>
        <w:jc w:val="both"/>
      </w:pPr>
    </w:p>
    <w:p>
      <w:pPr>
        <w:pStyle w:val="Normal.0"/>
        <w:jc w:val="both"/>
      </w:pPr>
      <w:r>
        <w:rPr>
          <w:rStyle w:val="Nessuno"/>
          <w:rtl w:val="0"/>
          <w:lang w:val="it-IT"/>
        </w:rPr>
        <w:t xml:space="preserve">Il terzo giorno di formazione </w:t>
      </w:r>
      <w:r>
        <w:rPr>
          <w:rStyle w:val="Nessuno"/>
          <w:rtl w:val="0"/>
          <w:lang w:val="it-IT"/>
        </w:rPr>
        <w:t xml:space="preserve">è </w:t>
      </w:r>
      <w:r>
        <w:rPr>
          <w:rStyle w:val="Nessuno"/>
          <w:rtl w:val="0"/>
          <w:lang w:val="it-IT"/>
        </w:rPr>
        <w:t xml:space="preserve">stato dedicato al terzo </w:t>
      </w:r>
      <w:r>
        <w:rPr>
          <w:rStyle w:val="Nessuno"/>
          <w:i w:val="1"/>
          <w:iCs w:val="1"/>
          <w:rtl w:val="0"/>
          <w:lang w:val="it-IT"/>
        </w:rPr>
        <w:t>Intellectual Output</w:t>
      </w:r>
      <w:r>
        <w:rPr>
          <w:rStyle w:val="Nessuno"/>
          <w:rtl w:val="0"/>
          <w:lang w:val="it-IT"/>
        </w:rPr>
        <w:t xml:space="preserve">, il MOOC "Open Solutions for Lifelong Learning" sotto la guida dello staff di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"http://www.archilabo.org/content/"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Archilab</w:t>
      </w:r>
      <w:r>
        <w:rPr>
          <w:rStyle w:val="Hyperlink.0"/>
          <w:rtl w:val="0"/>
          <w:lang w:val="it-IT"/>
        </w:rPr>
        <w:t>ò</w:t>
      </w:r>
      <w:r>
        <w:rPr/>
        <w:fldChar w:fldCharType="end" w:fldLock="0"/>
      </w:r>
      <w:r>
        <w:rPr>
          <w:rStyle w:val="Nessuno"/>
          <w:rtl w:val="0"/>
          <w:lang w:val="it-IT"/>
        </w:rPr>
        <w:t>.</w:t>
      </w:r>
    </w:p>
    <w:p>
      <w:pPr>
        <w:pStyle w:val="Normal.0"/>
        <w:jc w:val="both"/>
      </w:pPr>
      <w:r>
        <w:rPr>
          <w:rStyle w:val="Nessuno"/>
          <w:rtl w:val="0"/>
          <w:lang w:val="it-IT"/>
        </w:rPr>
        <w:t>Ancora una volta l'agenda quotidiana prevedeva due slot separati: il primo in cui Archilab</w:t>
      </w:r>
      <w:r>
        <w:rPr>
          <w:rStyle w:val="Nessuno"/>
          <w:rtl w:val="0"/>
          <w:lang w:val="it-IT"/>
        </w:rPr>
        <w:t xml:space="preserve">ò </w:t>
      </w:r>
      <w:r>
        <w:rPr>
          <w:rStyle w:val="Nessuno"/>
          <w:rtl w:val="0"/>
          <w:lang w:val="it-IT"/>
        </w:rPr>
        <w:t>ha introdotto le principali piattaforme e strumenti che verranno utilizzati per sviluppare i contenuti delle lezioni del MOOC, accanto ad alcuni elementi di progettazione per l</w:t>
      </w:r>
      <w:r>
        <w:rPr>
          <w:rStyle w:val="Nessuno"/>
          <w:rtl w:val="0"/>
          <w:lang w:val="it-IT"/>
        </w:rPr>
        <w:t>’</w:t>
      </w:r>
      <w:r>
        <w:rPr>
          <w:rStyle w:val="Nessuno"/>
          <w:rtl w:val="0"/>
          <w:lang w:val="it-IT"/>
        </w:rPr>
        <w:t>apprendimento multimediale per favorire l'inclusione e creare contenuti multimediale accessibili.</w:t>
      </w:r>
    </w:p>
    <w:p>
      <w:pPr>
        <w:pStyle w:val="Normal.0"/>
        <w:jc w:val="both"/>
      </w:pPr>
      <w:r>
        <w:rPr>
          <w:rStyle w:val="Nessuno"/>
          <w:rtl w:val="0"/>
          <w:lang w:val="it-IT"/>
        </w:rPr>
        <w:t>Nella seconda met</w:t>
      </w:r>
      <w:r>
        <w:rPr>
          <w:rStyle w:val="Nessuno"/>
          <w:rtl w:val="0"/>
          <w:lang w:val="it-IT"/>
        </w:rPr>
        <w:t xml:space="preserve">à </w:t>
      </w:r>
      <w:r>
        <w:rPr>
          <w:rStyle w:val="Nessuno"/>
          <w:rtl w:val="0"/>
          <w:lang w:val="it-IT"/>
        </w:rPr>
        <w:t>della giornata, gli insegnanti sono stati divisi in due gruppi e si sono trasferiti in due laboratori ICT messi a disposizione dalla scuola Spallanzani. Qui i/le docenti sono stati coinvolti in un workshop pratico per la creazione dei contenuti delle loro lezioni. Pi</w:t>
      </w:r>
      <w:r>
        <w:rPr>
          <w:rStyle w:val="Nessuno"/>
          <w:rtl w:val="0"/>
          <w:lang w:val="it-IT"/>
        </w:rPr>
        <w:t xml:space="preserve">ù </w:t>
      </w:r>
      <w:r>
        <w:rPr>
          <w:rStyle w:val="Nessuno"/>
          <w:rtl w:val="0"/>
          <w:lang w:val="it-IT"/>
        </w:rPr>
        <w:t>in dettaglio, Archilab</w:t>
      </w:r>
      <w:r>
        <w:rPr>
          <w:rStyle w:val="Nessuno"/>
          <w:rtl w:val="0"/>
          <w:lang w:val="it-IT"/>
        </w:rPr>
        <w:t xml:space="preserve">ò </w:t>
      </w:r>
      <w:r>
        <w:rPr>
          <w:rStyle w:val="Nessuno"/>
          <w:rtl w:val="0"/>
          <w:lang w:val="it-IT"/>
        </w:rPr>
        <w:t>ha mostrato una bozza di una lezione e i suoi elementi costitutivi, ha spiegato come utilizzare il toolkit per la realizzazione dei contenuti e ha introdotto la piattaforma digitale da utilizzare per lo sviluppo degli elementi delle lezioni.</w:t>
      </w:r>
    </w:p>
    <w:p>
      <w:pPr>
        <w:pStyle w:val="Normal.0"/>
        <w:jc w:val="both"/>
      </w:pPr>
    </w:p>
    <w:p>
      <w:pPr>
        <w:pStyle w:val="Normal.0"/>
        <w:jc w:val="both"/>
      </w:pPr>
      <w:r>
        <w:rPr>
          <w:rStyle w:val="Nessuno"/>
          <w:rtl w:val="0"/>
          <w:lang w:val="it-IT"/>
        </w:rPr>
        <w:t xml:space="preserve">     </w:t>
      </w:r>
      <w:r>
        <w:rPr>
          <w:rStyle w:val="Nessuno"/>
        </w:rPr>
        <w:drawing xmlns:a="http://schemas.openxmlformats.org/drawingml/2006/main">
          <wp:inline distT="0" distB="0" distL="0" distR="0">
            <wp:extent cx="3438525" cy="2578893"/>
            <wp:effectExtent l="0" t="0" r="0" b="0"/>
            <wp:docPr id="1073741832" name="officeArt object" descr="Immagine che contiene testo, interni, soffitto, persona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magine che contiene testo, interni, soffitto, personaDescrizione generata automaticamente" descr="Immagine che contiene testo, interni, soffitto, personaDescrizione generata automaticamente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5788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essuno"/>
          <w:rtl w:val="0"/>
          <w:lang w:val="it-IT"/>
        </w:rPr>
        <w:t xml:space="preserve">           </w:t>
      </w:r>
      <w:r>
        <w:rPr>
          <w:rStyle w:val="Nessuno"/>
        </w:rPr>
        <w:drawing xmlns:a="http://schemas.openxmlformats.org/drawingml/2006/main">
          <wp:inline distT="0" distB="0" distL="0" distR="0">
            <wp:extent cx="2571591" cy="1928694"/>
            <wp:effectExtent l="0" t="0" r="0" b="0"/>
            <wp:docPr id="1073741833" name="officeArt object" descr="Immagine che contiene interni, sedile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magine che contiene interni, sedileDescrizione generata automaticamente" descr="Immagine che contiene interni, sedileDescrizione generata automaticamente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 flipV="1" rot="5400000">
                      <a:off x="0" y="0"/>
                      <a:ext cx="2571591" cy="19286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both"/>
      </w:pPr>
      <w:r>
        <w:rPr>
          <w:rStyle w:val="Nessuno"/>
          <w:rtl w:val="0"/>
          <w:lang w:val="it-IT"/>
        </w:rPr>
        <w:t xml:space="preserve">L'ultimo giorno di formazione </w:t>
      </w:r>
      <w:r>
        <w:rPr>
          <w:rStyle w:val="Nessuno"/>
          <w:rtl w:val="0"/>
          <w:lang w:val="it-IT"/>
        </w:rPr>
        <w:t xml:space="preserve">è </w:t>
      </w:r>
      <w:r>
        <w:rPr>
          <w:rStyle w:val="Nessuno"/>
          <w:rtl w:val="0"/>
          <w:lang w:val="it-IT"/>
        </w:rPr>
        <w:t xml:space="preserve">stato ambientato in una location diversa,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"https://www.bibliotecasalaborsa.it/objects/salaborsalab"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Salaborsa Lab</w:t>
      </w:r>
      <w:r>
        <w:rPr/>
        <w:fldChar w:fldCharType="end" w:fldLock="0"/>
      </w:r>
      <w:r>
        <w:rPr>
          <w:rStyle w:val="Nessuno"/>
          <w:rtl w:val="0"/>
          <w:lang w:val="it-IT"/>
        </w:rPr>
        <w:t>, in virt</w:t>
      </w:r>
      <w:r>
        <w:rPr>
          <w:rStyle w:val="Nessuno"/>
          <w:rtl w:val="0"/>
          <w:lang w:val="it-IT"/>
        </w:rPr>
        <w:t xml:space="preserve">ù </w:t>
      </w:r>
      <w:r>
        <w:rPr>
          <w:rStyle w:val="Nessuno"/>
          <w:rtl w:val="0"/>
          <w:lang w:val="it-IT"/>
        </w:rPr>
        <w:t>del legame tra gli stessi obiettivi del progetto BNI e la funzione principale di questa biblioteca innovativa: promuovere lo sviluppo delle competenze digitali per l'inclusione della cittadinanza.</w:t>
      </w:r>
    </w:p>
    <w:p>
      <w:pPr>
        <w:pStyle w:val="Normal.0"/>
        <w:jc w:val="both"/>
      </w:pPr>
      <w:r>
        <w:rPr>
          <w:rStyle w:val="Nessuno"/>
          <w:rtl w:val="0"/>
          <w:lang w:val="it-IT"/>
        </w:rPr>
        <w:t>Tutti i partner hanno discusso degli ulteriori passi da eseguire al fine di portare al livello successivo lo sviluppo dei tre Intellectual Output, alcune decisioni preliminari sul secondo TPM che si terr</w:t>
      </w:r>
      <w:r>
        <w:rPr>
          <w:rStyle w:val="Nessuno"/>
          <w:rtl w:val="0"/>
          <w:lang w:val="it-IT"/>
        </w:rPr>
        <w:t xml:space="preserve">à </w:t>
      </w:r>
      <w:r>
        <w:rPr>
          <w:rStyle w:val="Nessuno"/>
          <w:rtl w:val="0"/>
          <w:lang w:val="it-IT"/>
        </w:rPr>
        <w:t>a Katerini e sar</w:t>
      </w:r>
      <w:r>
        <w:rPr>
          <w:rStyle w:val="Nessuno"/>
          <w:rtl w:val="0"/>
          <w:lang w:val="it-IT"/>
        </w:rPr>
        <w:t xml:space="preserve">à </w:t>
      </w:r>
      <w:r>
        <w:rPr>
          <w:rStyle w:val="Nessuno"/>
          <w:rtl w:val="0"/>
          <w:lang w:val="it-IT"/>
        </w:rPr>
        <w:t>ospitato dalla scuola Platon, alcune attivit</w:t>
      </w:r>
      <w:r>
        <w:rPr>
          <w:rStyle w:val="Nessuno"/>
          <w:rtl w:val="0"/>
          <w:lang w:val="it-IT"/>
        </w:rPr>
        <w:t xml:space="preserve">à </w:t>
      </w:r>
      <w:r>
        <w:rPr>
          <w:rStyle w:val="Nessuno"/>
          <w:rtl w:val="0"/>
          <w:lang w:val="it-IT"/>
        </w:rPr>
        <w:t>amministrative e un focus sulle attivit</w:t>
      </w:r>
      <w:r>
        <w:rPr>
          <w:rStyle w:val="Nessuno"/>
          <w:rtl w:val="0"/>
          <w:lang w:val="it-IT"/>
        </w:rPr>
        <w:t xml:space="preserve">à </w:t>
      </w:r>
      <w:r>
        <w:rPr>
          <w:rStyle w:val="Nessuno"/>
          <w:rtl w:val="0"/>
          <w:lang w:val="it-IT"/>
        </w:rPr>
        <w:t>di disseminazione: in particolare i canali di comunicazione del progetto e una prima panoramica sulla piattaforma Etwinning sono stati mostrati rispettivamente da Archilab</w:t>
      </w:r>
      <w:r>
        <w:rPr>
          <w:rStyle w:val="Nessuno"/>
          <w:rtl w:val="0"/>
          <w:lang w:val="it-IT"/>
        </w:rPr>
        <w:t xml:space="preserve">ò </w:t>
      </w:r>
      <w:r>
        <w:rPr>
          <w:rStyle w:val="Nessuno"/>
          <w:rtl w:val="0"/>
          <w:lang w:val="it-IT"/>
        </w:rPr>
        <w:t>e Istas Spallanzani.</w:t>
      </w:r>
    </w:p>
    <w:p>
      <w:pPr>
        <w:pStyle w:val="Normal.0"/>
        <w:jc w:val="both"/>
      </w:pPr>
    </w:p>
    <w:p>
      <w:pPr>
        <w:pStyle w:val="Normal.0"/>
        <w:jc w:val="both"/>
      </w:pPr>
      <w:r>
        <w:rPr>
          <w:rStyle w:val="Nessuno"/>
          <w:rtl w:val="0"/>
          <w:lang w:val="it-IT"/>
        </w:rPr>
        <w:t>Infine, come per non citare tutte le attivit</w:t>
      </w:r>
      <w:r>
        <w:rPr>
          <w:rStyle w:val="Nessuno"/>
          <w:rtl w:val="0"/>
          <w:lang w:val="it-IT"/>
        </w:rPr>
        <w:t xml:space="preserve">à </w:t>
      </w:r>
      <w:r>
        <w:rPr>
          <w:rStyle w:val="Nessuno"/>
          <w:rtl w:val="0"/>
          <w:lang w:val="it-IT"/>
        </w:rPr>
        <w:t>extra-formative che sono state organizzate dall</w:t>
      </w:r>
      <w:r>
        <w:rPr>
          <w:rStyle w:val="Nessuno"/>
          <w:rtl w:val="0"/>
          <w:lang w:val="it-IT"/>
        </w:rPr>
        <w:t>’</w:t>
      </w:r>
      <w:r>
        <w:rPr>
          <w:rStyle w:val="Nessuno"/>
          <w:rtl w:val="0"/>
          <w:lang w:val="it-IT"/>
        </w:rPr>
        <w:t>ISTAS Spallanzani per mostrare un frammento della vita scolastica a Castelfranco: dalla visita alle serre alla visita al caseificio e all'acetaia, la cantina tradizionale in cui viene prodotto l</w:t>
      </w:r>
      <w:r>
        <w:rPr>
          <w:rStyle w:val="Nessuno"/>
          <w:rtl w:val="0"/>
          <w:lang w:val="it-IT"/>
        </w:rPr>
        <w:t>’</w:t>
      </w:r>
      <w:r>
        <w:rPr>
          <w:rStyle w:val="Nessuno"/>
          <w:rtl w:val="0"/>
          <w:lang w:val="it-IT"/>
        </w:rPr>
        <w:t>aceto balsamico, il tour guidato da studenti del centro di Modena e Bologna.</w:t>
      </w:r>
    </w:p>
    <w:p>
      <w:pPr>
        <w:pStyle w:val="Normal.0"/>
        <w:jc w:val="both"/>
      </w:pPr>
      <w:r>
        <w:rPr>
          <w:rStyle w:val="Nessuno"/>
        </w:rPr>
        <w:drawing xmlns:a="http://schemas.openxmlformats.org/drawingml/2006/main">
          <wp:inline distT="0" distB="0" distL="0" distR="0">
            <wp:extent cx="2342156" cy="2676525"/>
            <wp:effectExtent l="0" t="0" r="0" b="0"/>
            <wp:docPr id="1073741834" name="officeArt object" descr="Immagine che contiene test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magine che contiene testoDescrizione generata automaticamente" descr="Immagine che contiene testoDescrizione generata automaticamente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rcRect l="7125" t="0" r="27245" b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42156" cy="2676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essuno"/>
          <w:rtl w:val="0"/>
          <w:lang w:val="it-IT"/>
        </w:rPr>
        <w:t xml:space="preserve">       </w:t>
      </w:r>
      <w:r>
        <w:rPr>
          <w:rStyle w:val="Nessuno"/>
        </w:rPr>
        <w:drawing xmlns:a="http://schemas.openxmlformats.org/drawingml/2006/main">
          <wp:inline distT="0" distB="0" distL="0" distR="0">
            <wp:extent cx="3396453" cy="2295179"/>
            <wp:effectExtent l="0" t="0" r="0" b="0"/>
            <wp:docPr id="1073741835" name="officeArt object" descr="Immagine che contiene interni, serra, persona, persone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magine che contiene interni, serra, persona, personeDescrizione generata automaticamente" descr="Immagine che contiene interni, serra, persona, personeDescrizione generata automaticamente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453" cy="22951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both"/>
      </w:pPr>
      <w:r>
        <w:rPr>
          <w:rStyle w:val="Nessuno"/>
          <w:rtl w:val="0"/>
          <w:lang w:val="it-IT"/>
        </w:rPr>
        <w:t xml:space="preserve">Durante le giornate di formazione lo Spallanzani e i suoi meravigliosi insegnanti e studenti hanno sostenuto i partner e hanno offerto il miglior benvenuto che avremmo potuto desiderare. Ora, dobbiamo solo aspettare l'estate per il secondo TPM .. Ma nel frattempo, siamo pronti a metterci al lavoro! </w:t>
      </w:r>
    </w:p>
    <w:sectPr>
      <w:headerReference w:type="default" r:id="rId15"/>
      <w:footerReference w:type="default" r:id="rId16"/>
      <w:pgSz w:w="11900" w:h="16840" w:orient="portrait"/>
      <w:pgMar w:top="567" w:right="569" w:bottom="567" w:left="1440" w:header="720" w:footer="720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76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character" w:styleId="Nessuno">
    <w:name w:val="Nessuno"/>
  </w:style>
  <w:style w:type="character" w:styleId="Hyperlink.0">
    <w:name w:val="Hyperlink.0"/>
    <w:basedOn w:val="Nessuno"/>
    <w:next w:val="Hyperlink.0"/>
    <w:rPr>
      <w:outline w:val="0"/>
      <w:color w:val="1155cc"/>
      <w:u w:val="single" w:color="1155cc"/>
      <w14:textFill>
        <w14:solidFill>
          <w14:srgbClr w14:val="1155CC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